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064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default" w:ascii="Times New Roman" w:hAnsi="Times New Roman" w:eastAsia="楷体"/>
          <w:lang w:val="en-US" w:eastAsia="zh-CN"/>
        </w:rPr>
      </w:pPr>
      <w:r>
        <w:rPr>
          <w:rFonts w:hint="eastAsia" w:ascii="Times New Roman" w:hAnsi="Times New Roman" w:eastAsia="楷体"/>
          <w:lang w:val="en-US" w:eastAsia="zh-CN"/>
        </w:rPr>
        <w:t>科创中心废液及废弃物处理规范要求及处理方法</w:t>
      </w:r>
    </w:p>
    <w:p w14:paraId="7F6D3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</w:rPr>
        <w:t>实验室废液与废弃物成分复杂，部分含有毒有害、易燃易爆、腐蚀性等物质，若处理不当不仅会对生态环境造成不可逆的破坏，还可能通过接触、挥发、渗漏等方式危害实验人员身体健康，因此必须将规范处理。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为规范实验室人员对实验室废弃物及废液处理方法，我们将从以下几个方面进行阐述。</w:t>
      </w:r>
    </w:p>
    <w:p w14:paraId="66CEB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一、分类原则</w:t>
      </w:r>
    </w:p>
    <w:p w14:paraId="18390C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实验室废物一般分为以下几类：</w:t>
      </w:r>
    </w:p>
    <w:p w14:paraId="2B306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感染性废物：可能含有病原体的样本、培养物、被污染的耗材。</w:t>
      </w:r>
    </w:p>
    <w:p w14:paraId="6ABC7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病理性废物：组织、器官、体液等。</w:t>
      </w:r>
    </w:p>
    <w:p w14:paraId="63EC8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3. 医疗锐器废物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：针头、刀片、碎玻璃等。</w:t>
      </w:r>
    </w:p>
    <w:p w14:paraId="5F5A6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化学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危害性废弃物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：实验用化学试剂、废液、失效化学品。</w:t>
      </w:r>
    </w:p>
    <w:p w14:paraId="36B4F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药物性废物：过期或废弃的药物、药物配制废液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等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。</w:t>
      </w:r>
    </w:p>
    <w:p w14:paraId="1169D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二、常见废弃物的处置方法</w:t>
      </w:r>
    </w:p>
    <w:p w14:paraId="4031B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1. 感染性废物</w:t>
      </w:r>
    </w:p>
    <w:p w14:paraId="4CEF8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1.1 常规无污染废物</w:t>
      </w:r>
    </w:p>
    <w:p w14:paraId="5CDCD5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适用：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常规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细胞培养物、离心管、手套等。</w:t>
      </w:r>
    </w:p>
    <w:p w14:paraId="02DCE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处置要点：使用黄色医疗废物袋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，并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按医疗废物转运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，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严禁与生活垃圾混放。</w:t>
      </w:r>
    </w:p>
    <w:p w14:paraId="4EB86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1.2 生物危害性废弃物</w:t>
      </w:r>
    </w:p>
    <w:p w14:paraId="38FAA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适用：血液 / 体液样本、被污染的吸头、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临床样本使用后的废弃物等。</w:t>
      </w:r>
    </w:p>
    <w:p w14:paraId="1DA81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处置要点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：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实验后，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需放入黄色生物危害垃圾袋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并放置于污物处理间，专人统一处理。</w:t>
      </w:r>
    </w:p>
    <w:p w14:paraId="5D7ED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医疗锐器废物</w:t>
      </w:r>
    </w:p>
    <w:p w14:paraId="0FB07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适用：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注射器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针头、刀片、破碎玻璃器皿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等医疗锐器废物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。</w:t>
      </w:r>
    </w:p>
    <w:p w14:paraId="3EF64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处置要点：必须放入专用锐器盒（黄色、防刺穿）。锐器盒装满 3/4 即需更换。严禁用手直接处理碎玻璃。</w:t>
      </w:r>
    </w:p>
    <w:p w14:paraId="08652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3. 化学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危害性废弃物</w:t>
      </w:r>
    </w:p>
    <w:p w14:paraId="5FF96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适用：实验产生的有机溶剂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(如乙醇，二甲苯，乙酸乙酯，乙腈等)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、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无机废液（如盐酸，硝酸，硫酸等）。</w:t>
      </w:r>
    </w:p>
    <w:p w14:paraId="6BF88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处置要点：废液桶需保持密闭，避免挥发和泄漏。定期由有资质的危险废物处理公司转运处置。</w:t>
      </w:r>
    </w:p>
    <w:p w14:paraId="086AD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4. 固体化学废物</w:t>
      </w:r>
    </w:p>
    <w:p w14:paraId="58E99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适用：过期试剂、污染的固体化学物质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等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。</w:t>
      </w:r>
    </w:p>
    <w:p w14:paraId="124DB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处置要点：按化学品性质分类放入密闭容器。附上危险废物标签（成分、危险性、日期）。交由专业公司处理。</w:t>
      </w:r>
    </w:p>
    <w:p w14:paraId="1444E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5. 药物性废物</w:t>
      </w:r>
    </w:p>
    <w:p w14:paraId="76246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适用：过期药物、药物配制废液、药物污染的耗材。</w:t>
      </w:r>
    </w:p>
    <w:p w14:paraId="6BCB6D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处置要点：固体药物密封保存于专用容器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，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药物废液按化学性废液处理。附上危险废物标签（成分、危险性、日期）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，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不得随意倒入下水道。</w:t>
      </w:r>
    </w:p>
    <w:p w14:paraId="2EDED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三、废液处理的一般安全原则</w:t>
      </w:r>
    </w:p>
    <w:p w14:paraId="538BAF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所有废液桶必须明确标识：废液类型、主要成分、危险特性、日期。</w:t>
      </w:r>
    </w:p>
    <w:p w14:paraId="1B5FF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废液桶应放在阴凉、通风、防泄漏区域。</w:t>
      </w:r>
    </w:p>
    <w:p w14:paraId="56734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化学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危害性废弃物、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固体化学废物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以及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药物性废物</w:t>
      </w: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>处置之前，需提前联系实验室老师进行收集（李圣宇，15067858991；计友棋：19858193823）。</w:t>
      </w:r>
    </w:p>
    <w:p w14:paraId="66211B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40" w:firstLineChars="100"/>
        <w:textAlignment w:val="auto"/>
        <w:rPr>
          <w:rFonts w:hint="default" w:ascii="Times New Roman" w:hAnsi="Times New Roman" w:eastAsia="楷体" w:cs="楷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24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楷体" w:cs="楷体"/>
          <w:sz w:val="24"/>
          <w:szCs w:val="32"/>
          <w:lang w:val="en-US" w:eastAsia="zh-CN"/>
        </w:rPr>
        <w:t>处理废液时必须佩戴手套、护目镜、实验服。</w:t>
      </w:r>
    </w:p>
    <w:p w14:paraId="39572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Times New Roman" w:hAnsi="Times New Roman" w:eastAsia="楷体" w:cs="楷体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24"/>
          <w:szCs w:val="32"/>
          <w:lang w:val="en-US" w:eastAsia="zh-CN"/>
        </w:rPr>
        <w:t>注：</w:t>
      </w:r>
    </w:p>
    <w:p w14:paraId="125BF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楷体" w:cs="楷体"/>
          <w:sz w:val="24"/>
          <w:szCs w:val="32"/>
        </w:rPr>
      </w:pPr>
      <w:r>
        <w:rPr>
          <w:rFonts w:hint="eastAsia" w:ascii="Times New Roman" w:hAnsi="Times New Roman" w:eastAsia="楷体" w:cs="楷体"/>
          <w:sz w:val="24"/>
          <w:szCs w:val="32"/>
        </w:rPr>
        <w:t>所有实验人员必须熟知实验室废液、废弃物的分类标准、收集方法、存放要求及应急处理措施，严格按照操作流程执行，严禁存在侥幸心理违规处理。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54AB"/>
    <w:rsid w:val="1494708A"/>
    <w:rsid w:val="20CA6305"/>
    <w:rsid w:val="423532A9"/>
    <w:rsid w:val="5FC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1034</Characters>
  <Lines>0</Lines>
  <Paragraphs>0</Paragraphs>
  <TotalTime>43</TotalTime>
  <ScaleCrop>false</ScaleCrop>
  <LinksUpToDate>false</LinksUpToDate>
  <CharactersWithSpaces>1054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2026-01-08T03:16:00Z</dcterms:created>
  <dc:creator>Mayn</dc:creator>
  <cp:lastModifiedBy>Jenny SHEN</cp:lastModifiedBy>
  <dcterms:modified xsi:type="dcterms:W3CDTF">2026-01-09T01:32:13Z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eyJoZGlkIjoiNGE4N2I3YjNkMmVhMzg0ZWEyZTQ2NTQxNWZhMDYwOGEiLCJ1c2VySWQiOiI0MTk1OTYwNTQifQ==</vt:lpwstr>
  </property>
  <property fmtid="{D5CDD505-2E9C-101B-9397-08002B2CF9AE}" pid="4" name="ICV">
    <vt:lpwstr>92ED1879E62842B39012D255B7E2B425_13</vt:lpwstr>
  </property>
</Properties>
</file>